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B" w:rsidRDefault="00B9094B" w:rsidP="00B9094B">
      <w:pPr>
        <w:pStyle w:val="Titre2"/>
      </w:pPr>
      <w:bookmarkStart w:id="0" w:name="_Toc488607129"/>
      <w:bookmarkStart w:id="1" w:name="_Ref489080107"/>
      <w:bookmarkStart w:id="2" w:name="_Ref489080481"/>
      <w:bookmarkStart w:id="3" w:name="_GoBack"/>
      <w:r>
        <w:t>Procès-verbal de la commission ordinaire des recettes</w:t>
      </w:r>
      <w:bookmarkEnd w:id="0"/>
      <w:bookmarkEnd w:id="1"/>
      <w:bookmarkEnd w:id="2"/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B9094B" w:rsidTr="00B242A6">
        <w:tc>
          <w:tcPr>
            <w:tcW w:w="3353" w:type="dxa"/>
            <w:hideMark/>
          </w:tcPr>
          <w:bookmarkEnd w:id="3"/>
          <w:p w:rsidR="00B9094B" w:rsidRDefault="00B9094B" w:rsidP="00B242A6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proofErr w:type="gramStart"/>
            <w:r>
              <w:rPr>
                <w:rFonts w:ascii="Cambria" w:hAnsi="Cambria"/>
              </w:rPr>
              <w:t>1)Libellé</w:t>
            </w:r>
            <w:proofErr w:type="gramEnd"/>
            <w:r>
              <w:rPr>
                <w:rFonts w:ascii="Cambria" w:hAnsi="Cambria"/>
              </w:rPr>
              <w:t xml:space="preserve">  du chapitre </w:t>
            </w:r>
          </w:p>
        </w:tc>
        <w:tc>
          <w:tcPr>
            <w:tcW w:w="3354" w:type="dxa"/>
            <w:hideMark/>
          </w:tcPr>
          <w:p w:rsidR="00B9094B" w:rsidRDefault="00B9094B" w:rsidP="00B242A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hAnsi="Cambria"/>
                <w:b/>
              </w:rPr>
              <w:t>REPUBLIQUE DU CAMEROUN</w:t>
            </w:r>
          </w:p>
        </w:tc>
        <w:tc>
          <w:tcPr>
            <w:tcW w:w="3354" w:type="dxa"/>
            <w:hideMark/>
          </w:tcPr>
          <w:p w:rsidR="00B9094B" w:rsidRDefault="00B9094B" w:rsidP="00B242A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hAnsi="Cambria"/>
                <w:b/>
              </w:rPr>
              <w:t>INSTRUCTION   GÉNÉRALE</w:t>
            </w:r>
          </w:p>
        </w:tc>
      </w:tr>
      <w:tr w:rsidR="00B9094B" w:rsidTr="00B242A6">
        <w:tc>
          <w:tcPr>
            <w:tcW w:w="3353" w:type="dxa"/>
            <w:hideMark/>
          </w:tcPr>
          <w:p w:rsidR="00B9094B" w:rsidRDefault="00B9094B" w:rsidP="00B242A6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proofErr w:type="gramStart"/>
            <w:r>
              <w:rPr>
                <w:rFonts w:ascii="Cambria" w:hAnsi="Cambria"/>
              </w:rPr>
              <w:t>2)Direction</w:t>
            </w:r>
            <w:proofErr w:type="gram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354" w:type="dxa"/>
            <w:hideMark/>
          </w:tcPr>
          <w:p w:rsidR="00B9094B" w:rsidRDefault="00B9094B" w:rsidP="00B242A6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hAnsi="Cambria"/>
              </w:rPr>
              <w:t xml:space="preserve">Paix –Travail-patrie </w:t>
            </w:r>
          </w:p>
        </w:tc>
        <w:tc>
          <w:tcPr>
            <w:tcW w:w="3354" w:type="dxa"/>
            <w:hideMark/>
          </w:tcPr>
          <w:p w:rsidR="00B9094B" w:rsidRDefault="00B9094B" w:rsidP="00B242A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hAnsi="Cambria"/>
              </w:rPr>
              <w:t>Du 16 mars  1905</w:t>
            </w:r>
          </w:p>
        </w:tc>
      </w:tr>
      <w:tr w:rsidR="00B9094B" w:rsidTr="00B242A6">
        <w:tc>
          <w:tcPr>
            <w:tcW w:w="3353" w:type="dxa"/>
            <w:hideMark/>
          </w:tcPr>
          <w:p w:rsidR="00B9094B" w:rsidRDefault="00B9094B" w:rsidP="00B242A6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hAnsi="Cambria"/>
              </w:rPr>
              <w:t xml:space="preserve">3) </w:t>
            </w:r>
            <w:proofErr w:type="spellStart"/>
            <w:r>
              <w:rPr>
                <w:rFonts w:ascii="Cambria" w:hAnsi="Cambria"/>
              </w:rPr>
              <w:t>Sous Direction</w:t>
            </w:r>
            <w:proofErr w:type="spellEnd"/>
            <w:r>
              <w:rPr>
                <w:rFonts w:ascii="Cambria" w:hAnsi="Cambria"/>
              </w:rPr>
              <w:t xml:space="preserve">  ou annexe</w:t>
            </w:r>
          </w:p>
        </w:tc>
        <w:tc>
          <w:tcPr>
            <w:tcW w:w="3354" w:type="dxa"/>
          </w:tcPr>
          <w:p w:rsidR="00B9094B" w:rsidRDefault="00B9094B" w:rsidP="00B242A6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3354" w:type="dxa"/>
          </w:tcPr>
          <w:p w:rsidR="00B9094B" w:rsidRDefault="00B9094B" w:rsidP="00B242A6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</w:p>
        </w:tc>
      </w:tr>
    </w:tbl>
    <w:p w:rsidR="00B9094B" w:rsidRDefault="00B9094B" w:rsidP="00B9094B">
      <w:pPr>
        <w:spacing w:after="0" w:line="240" w:lineRule="auto"/>
        <w:rPr>
          <w:rFonts w:ascii="Cambria" w:eastAsia="Calibri" w:hAnsi="Cambria"/>
          <w:lang w:eastAsia="en-US"/>
        </w:rPr>
      </w:pPr>
    </w:p>
    <w:p w:rsidR="00B9094B" w:rsidRDefault="00B9094B" w:rsidP="00B9094B">
      <w:pPr>
        <w:jc w:val="center"/>
        <w:rPr>
          <w:rFonts w:ascii="Calibri" w:hAnsi="Calibri"/>
        </w:rPr>
      </w:pPr>
      <w:r>
        <w:t xml:space="preserve"> [Dénomination de la structure]</w:t>
      </w:r>
    </w:p>
    <w:p w:rsidR="00B9094B" w:rsidRDefault="00B9094B" w:rsidP="00B9094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Article   50.271.274</w:t>
      </w:r>
    </w:p>
    <w:p w:rsidR="00B9094B" w:rsidRDefault="00B9094B" w:rsidP="00B9094B">
      <w:pPr>
        <w:spacing w:after="0" w:line="240" w:lineRule="auto"/>
        <w:rPr>
          <w:rFonts w:ascii="Cambria" w:hAnsi="Cambria"/>
        </w:rPr>
      </w:pPr>
    </w:p>
    <w:p w:rsidR="00B9094B" w:rsidRDefault="00B9094B" w:rsidP="00B9094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N° ……..d’ordre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          Source : </w:t>
      </w:r>
      <w:r w:rsidRPr="00F35790">
        <w:rPr>
          <w:rFonts w:ascii="Cambria" w:hAnsi="Cambria"/>
          <w:b/>
        </w:rPr>
        <w:t>Modèle</w:t>
      </w:r>
      <w:r>
        <w:rPr>
          <w:rFonts w:ascii="Cambria" w:hAnsi="Cambria"/>
          <w:b/>
        </w:rPr>
        <w:t xml:space="preserve">   n° 41</w:t>
      </w:r>
    </w:p>
    <w:p w:rsidR="00B9094B" w:rsidRDefault="00B9094B" w:rsidP="00B9094B">
      <w:pPr>
        <w:spacing w:after="0" w:line="240" w:lineRule="auto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du</w:t>
      </w:r>
      <w:proofErr w:type="gramEnd"/>
      <w:r>
        <w:rPr>
          <w:rFonts w:ascii="Cambria" w:hAnsi="Cambria"/>
          <w:b/>
        </w:rPr>
        <w:t xml:space="preserve"> procès-verbal </w:t>
      </w:r>
    </w:p>
    <w:p w:rsidR="00B9094B" w:rsidRDefault="00B9094B" w:rsidP="00B9094B">
      <w:pPr>
        <w:spacing w:after="0" w:line="240" w:lineRule="auto"/>
        <w:jc w:val="center"/>
        <w:rPr>
          <w:rFonts w:ascii="Cambria" w:hAnsi="Cambria"/>
          <w:b/>
        </w:rPr>
      </w:pPr>
    </w:p>
    <w:p w:rsidR="00B9094B" w:rsidRDefault="00B9094B" w:rsidP="00B9094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</w:t>
      </w:r>
      <w:r>
        <w:rPr>
          <w:rFonts w:ascii="Cambria" w:hAnsi="Cambria"/>
          <w:b/>
          <w:sz w:val="26"/>
          <w:szCs w:val="26"/>
        </w:rPr>
        <w:t>CHAPITRE   …………….DU BUDGET</w:t>
      </w:r>
      <w:r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</w:t>
      </w:r>
    </w:p>
    <w:p w:rsidR="00B9094B" w:rsidRDefault="00B9094B" w:rsidP="00B9094B">
      <w:pPr>
        <w:spacing w:after="0" w:line="240" w:lineRule="auto"/>
        <w:jc w:val="center"/>
        <w:rPr>
          <w:rFonts w:ascii="Cambria" w:hAnsi="Cambria"/>
        </w:rPr>
      </w:pPr>
    </w:p>
    <w:p w:rsidR="00B9094B" w:rsidRDefault="00B9094B" w:rsidP="00B9094B">
      <w:pPr>
        <w:spacing w:after="0" w:line="480" w:lineRule="auto"/>
        <w:ind w:left="2552"/>
        <w:rPr>
          <w:rFonts w:ascii="Cambria" w:hAnsi="Cambri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CED5" wp14:editId="479E9F0A">
                <wp:simplePos x="0" y="0"/>
                <wp:positionH relativeFrom="column">
                  <wp:posOffset>2251710</wp:posOffset>
                </wp:positionH>
                <wp:positionV relativeFrom="paragraph">
                  <wp:posOffset>1017905</wp:posOffset>
                </wp:positionV>
                <wp:extent cx="1200150" cy="0"/>
                <wp:effectExtent l="0" t="0" r="19050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77.3pt;margin-top:80.15pt;width:9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81E6C" wp14:editId="08C3DC45">
                <wp:simplePos x="0" y="0"/>
                <wp:positionH relativeFrom="column">
                  <wp:posOffset>2251710</wp:posOffset>
                </wp:positionH>
                <wp:positionV relativeFrom="paragraph">
                  <wp:posOffset>646430</wp:posOffset>
                </wp:positionV>
                <wp:extent cx="1200150" cy="0"/>
                <wp:effectExtent l="0" t="0" r="19050" b="1905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177.3pt;margin-top:50.9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FE09" wp14:editId="7E4F773B">
                <wp:simplePos x="0" y="0"/>
                <wp:positionH relativeFrom="column">
                  <wp:posOffset>2165985</wp:posOffset>
                </wp:positionH>
                <wp:positionV relativeFrom="paragraph">
                  <wp:posOffset>274955</wp:posOffset>
                </wp:positionV>
                <wp:extent cx="1200150" cy="0"/>
                <wp:effectExtent l="0" t="0" r="19050" b="1905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170.55pt;margin-top:21.65pt;width: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"/>
            </w:pict>
          </mc:Fallback>
        </mc:AlternateContent>
      </w:r>
      <w:r>
        <w:rPr>
          <w:rFonts w:ascii="Cambria" w:hAnsi="Cambria"/>
        </w:rPr>
        <w:t>(1)…………………………………………………………….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9094B" w:rsidRDefault="00B9094B" w:rsidP="00B9094B">
      <w:pPr>
        <w:spacing w:after="0" w:line="480" w:lineRule="auto"/>
        <w:ind w:left="2552"/>
        <w:rPr>
          <w:rFonts w:ascii="Cambria" w:hAnsi="Cambria"/>
        </w:rPr>
      </w:pPr>
      <w:r>
        <w:rPr>
          <w:rFonts w:ascii="Cambria" w:hAnsi="Cambria"/>
        </w:rPr>
        <w:t>(2)……………………………………………………………..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9094B" w:rsidRDefault="00B9094B" w:rsidP="00B9094B">
      <w:pPr>
        <w:spacing w:after="0" w:line="480" w:lineRule="auto"/>
        <w:ind w:left="2552"/>
        <w:rPr>
          <w:rFonts w:ascii="Cambria" w:hAnsi="Cambria"/>
        </w:rPr>
      </w:pPr>
      <w:r>
        <w:rPr>
          <w:rFonts w:ascii="Cambria" w:hAnsi="Cambria"/>
        </w:rPr>
        <w:t>(3)……………………………………………………………..</w:t>
      </w:r>
    </w:p>
    <w:p w:rsidR="00B9094B" w:rsidRDefault="00B9094B" w:rsidP="00B9094B">
      <w:pPr>
        <w:spacing w:after="0" w:line="480" w:lineRule="auto"/>
        <w:rPr>
          <w:rFonts w:ascii="Cambria" w:hAnsi="Cambria"/>
          <w:sz w:val="20"/>
          <w:szCs w:val="20"/>
        </w:rPr>
      </w:pPr>
    </w:p>
    <w:p w:rsidR="00B9094B" w:rsidRPr="004A21CD" w:rsidRDefault="00B9094B" w:rsidP="00B9094B">
      <w:pPr>
        <w:jc w:val="center"/>
        <w:rPr>
          <w:rFonts w:ascii="Agency FB" w:hAnsi="Agency FB"/>
          <w:b/>
          <w:sz w:val="44"/>
          <w:szCs w:val="44"/>
        </w:rPr>
      </w:pPr>
      <w:r w:rsidRPr="004A21CD">
        <w:rPr>
          <w:rFonts w:ascii="Agency FB" w:hAnsi="Agency FB"/>
          <w:sz w:val="44"/>
          <w:szCs w:val="44"/>
        </w:rPr>
        <w:t>PROCES-VERBAL  DE LA COMMISSION  ORDINAIRE  DES RECETTES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543"/>
      </w:tblGrid>
      <w:tr w:rsidR="00B9094B" w:rsidTr="00B242A6">
        <w:tc>
          <w:tcPr>
            <w:tcW w:w="2518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L’ordonnateur </w:t>
            </w:r>
            <w:r>
              <w:rPr>
                <w:rFonts w:ascii="Cambria" w:hAnsi="Cambria"/>
                <w:sz w:val="18"/>
                <w:szCs w:val="18"/>
              </w:rPr>
              <w:t xml:space="preserve"> ou son représentant</w:t>
            </w:r>
          </w:p>
        </w:tc>
        <w:tc>
          <w:tcPr>
            <w:tcW w:w="7543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9094B" w:rsidTr="00B242A6">
        <w:tc>
          <w:tcPr>
            <w:tcW w:w="2518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3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9094B" w:rsidTr="00B242A6">
        <w:tc>
          <w:tcPr>
            <w:tcW w:w="2518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Le comptable-matières </w:t>
            </w:r>
          </w:p>
        </w:tc>
        <w:tc>
          <w:tcPr>
            <w:tcW w:w="7543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9094B" w:rsidTr="00B242A6">
        <w:tc>
          <w:tcPr>
            <w:tcW w:w="2518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</w:rPr>
              <w:t>Les membres</w:t>
            </w:r>
          </w:p>
        </w:tc>
        <w:tc>
          <w:tcPr>
            <w:tcW w:w="7543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9094B" w:rsidTr="00B242A6">
        <w:tc>
          <w:tcPr>
            <w:tcW w:w="2518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3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9094B" w:rsidTr="00B242A6">
        <w:tc>
          <w:tcPr>
            <w:tcW w:w="2518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</w:rPr>
              <w:t>Le  fournisseur  ou son représentant</w:t>
            </w:r>
          </w:p>
        </w:tc>
        <w:tc>
          <w:tcPr>
            <w:tcW w:w="7543" w:type="dxa"/>
            <w:hideMark/>
          </w:tcPr>
          <w:p w:rsidR="00B9094B" w:rsidRDefault="00B9094B" w:rsidP="00B242A6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B9094B" w:rsidRDefault="00B9094B" w:rsidP="00B9094B">
      <w:pPr>
        <w:spacing w:after="0" w:line="240" w:lineRule="auto"/>
        <w:rPr>
          <w:rFonts w:ascii="Cambria" w:eastAsia="Calibri" w:hAnsi="Cambria"/>
          <w:lang w:eastAsia="en-US"/>
        </w:rPr>
      </w:pPr>
    </w:p>
    <w:p w:rsidR="00B9094B" w:rsidRDefault="00B9094B" w:rsidP="00B9094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B9094B" w:rsidRDefault="00B9094B" w:rsidP="00B9094B">
      <w:pPr>
        <w:spacing w:after="0" w:line="240" w:lineRule="auto"/>
        <w:rPr>
          <w:rFonts w:ascii="Cambria" w:hAnsi="Cambria"/>
          <w:sz w:val="18"/>
          <w:szCs w:val="18"/>
        </w:rPr>
        <w:sectPr w:rsidR="00B9094B">
          <w:pgSz w:w="11906" w:h="16838"/>
          <w:pgMar w:top="851" w:right="851" w:bottom="851" w:left="1134" w:header="709" w:footer="709" w:gutter="0"/>
          <w:cols w:space="720"/>
        </w:sectPr>
      </w:pPr>
    </w:p>
    <w:p w:rsidR="00B9094B" w:rsidRDefault="00B9094B" w:rsidP="00B9094B">
      <w:pPr>
        <w:pStyle w:val="Paragraphedeliste"/>
        <w:spacing w:after="0" w:line="240" w:lineRule="auto"/>
        <w:ind w:left="1065"/>
        <w:rPr>
          <w:rFonts w:ascii="Cambria" w:hAnsi="Cambria"/>
          <w:sz w:val="18"/>
          <w:szCs w:val="18"/>
        </w:rPr>
      </w:pPr>
    </w:p>
    <w:tbl>
      <w:tblPr>
        <w:tblStyle w:val="Grilledutableau"/>
        <w:tblW w:w="15352" w:type="dxa"/>
        <w:tblLayout w:type="fixed"/>
        <w:tblLook w:val="04A0" w:firstRow="1" w:lastRow="0" w:firstColumn="1" w:lastColumn="0" w:noHBand="0" w:noVBand="1"/>
      </w:tblPr>
      <w:tblGrid>
        <w:gridCol w:w="606"/>
        <w:gridCol w:w="1423"/>
        <w:gridCol w:w="773"/>
        <w:gridCol w:w="4749"/>
        <w:gridCol w:w="492"/>
        <w:gridCol w:w="655"/>
        <w:gridCol w:w="908"/>
        <w:gridCol w:w="1385"/>
        <w:gridCol w:w="659"/>
        <w:gridCol w:w="513"/>
        <w:gridCol w:w="3189"/>
      </w:tblGrid>
      <w:tr w:rsidR="00B9094B" w:rsidRPr="00965172" w:rsidTr="00B242A6">
        <w:trPr>
          <w:trHeight w:val="340"/>
        </w:trPr>
        <w:tc>
          <w:tcPr>
            <w:tcW w:w="606" w:type="dxa"/>
            <w:vMerge w:val="restart"/>
            <w:textDirection w:val="btLr"/>
            <w:vAlign w:val="center"/>
            <w:hideMark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>Date  d’i</w:t>
            </w:r>
            <w:r>
              <w:rPr>
                <w:rFonts w:ascii="Agency FB" w:hAnsi="Agency FB"/>
                <w:b/>
                <w:sz w:val="18"/>
                <w:szCs w:val="18"/>
              </w:rPr>
              <w:t>mmatricula</w:t>
            </w:r>
            <w:r w:rsidRPr="00965172">
              <w:rPr>
                <w:rFonts w:ascii="Agency FB" w:hAnsi="Agency FB"/>
                <w:b/>
                <w:sz w:val="18"/>
                <w:szCs w:val="18"/>
              </w:rPr>
              <w:t>tion</w:t>
            </w:r>
          </w:p>
        </w:tc>
        <w:tc>
          <w:tcPr>
            <w:tcW w:w="1423" w:type="dxa"/>
            <w:vMerge w:val="restart"/>
            <w:vAlign w:val="center"/>
            <w:hideMark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 xml:space="preserve">Désignation  </w:t>
            </w:r>
            <w:r>
              <w:rPr>
                <w:rFonts w:ascii="Agency FB" w:hAnsi="Agency FB"/>
                <w:b/>
                <w:sz w:val="18"/>
                <w:szCs w:val="18"/>
              </w:rPr>
              <w:t>des  fournitures</w:t>
            </w:r>
            <w:r w:rsidRPr="00965172">
              <w:rPr>
                <w:rFonts w:ascii="Agency FB" w:hAnsi="Agency FB"/>
                <w:b/>
                <w:sz w:val="18"/>
                <w:szCs w:val="18"/>
              </w:rPr>
              <w:t xml:space="preserve">   dates  et  numéros   des marchés  et des commandes</w:t>
            </w:r>
          </w:p>
        </w:tc>
        <w:tc>
          <w:tcPr>
            <w:tcW w:w="773" w:type="dxa"/>
            <w:vMerge w:val="restart"/>
            <w:textDirection w:val="btLr"/>
            <w:vAlign w:val="center"/>
            <w:hideMark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>Numéros  de la  nomenclature   sommaire</w:t>
            </w:r>
          </w:p>
        </w:tc>
        <w:tc>
          <w:tcPr>
            <w:tcW w:w="4749" w:type="dxa"/>
            <w:vMerge w:val="restart"/>
            <w:vAlign w:val="center"/>
            <w:hideMark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>Désignation  des matières  et objets</w:t>
            </w:r>
          </w:p>
        </w:tc>
        <w:tc>
          <w:tcPr>
            <w:tcW w:w="492" w:type="dxa"/>
            <w:vMerge w:val="restart"/>
            <w:textDirection w:val="btLr"/>
            <w:vAlign w:val="center"/>
            <w:hideMark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>Espèces des unités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 xml:space="preserve">Quantités des matières  </w:t>
            </w:r>
            <w:r w:rsidRPr="00965172">
              <w:rPr>
                <w:rFonts w:ascii="Agency FB" w:hAnsi="Agency FB"/>
                <w:b/>
                <w:sz w:val="18"/>
                <w:szCs w:val="18"/>
              </w:rPr>
              <w:t>facturé</w:t>
            </w:r>
            <w:r>
              <w:rPr>
                <w:rFonts w:ascii="Agency FB" w:hAnsi="Agency FB"/>
                <w:b/>
                <w:sz w:val="18"/>
                <w:szCs w:val="18"/>
              </w:rPr>
              <w:t>e</w:t>
            </w:r>
            <w:r w:rsidRPr="00965172">
              <w:rPr>
                <w:rFonts w:ascii="Agency FB" w:hAnsi="Agency FB"/>
                <w:b/>
                <w:sz w:val="18"/>
                <w:szCs w:val="18"/>
              </w:rPr>
              <w:t>s</w:t>
            </w:r>
          </w:p>
        </w:tc>
        <w:tc>
          <w:tcPr>
            <w:tcW w:w="3465" w:type="dxa"/>
            <w:gridSpan w:val="4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>QUANTITE</w:t>
            </w:r>
            <w:r>
              <w:rPr>
                <w:rFonts w:ascii="Agency FB" w:hAnsi="Agency FB"/>
                <w:b/>
                <w:sz w:val="18"/>
                <w:szCs w:val="18"/>
              </w:rPr>
              <w:t>S</w:t>
            </w:r>
            <w:r w:rsidRPr="00965172"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>
              <w:rPr>
                <w:rFonts w:ascii="Agency FB" w:hAnsi="Agency FB"/>
                <w:b/>
                <w:sz w:val="18"/>
                <w:szCs w:val="18"/>
              </w:rPr>
              <w:t>RECONNUES PAR LA COMMISSION</w:t>
            </w:r>
          </w:p>
        </w:tc>
        <w:tc>
          <w:tcPr>
            <w:tcW w:w="3189" w:type="dxa"/>
            <w:vMerge w:val="restart"/>
            <w:vAlign w:val="center"/>
            <w:hideMark/>
          </w:tcPr>
          <w:p w:rsidR="00B9094B" w:rsidRPr="00965172" w:rsidRDefault="00B9094B" w:rsidP="00B242A6">
            <w:pPr>
              <w:pStyle w:val="Paragraphedeliste"/>
              <w:ind w:left="-438"/>
              <w:jc w:val="center"/>
              <w:rPr>
                <w:rFonts w:ascii="Agency FB" w:eastAsia="Calibri" w:hAnsi="Agency FB" w:cs="Times New Roman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>Décision de la commission</w:t>
            </w:r>
          </w:p>
          <w:p w:rsidR="00B9094B" w:rsidRPr="00965172" w:rsidRDefault="00B9094B" w:rsidP="00B242A6">
            <w:pPr>
              <w:pStyle w:val="Paragraphedeliste"/>
              <w:ind w:left="-108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965172">
              <w:rPr>
                <w:rFonts w:ascii="Agency FB" w:hAnsi="Agency FB"/>
                <w:b/>
                <w:sz w:val="18"/>
                <w:szCs w:val="18"/>
              </w:rPr>
              <w:t>(1) les décisions de la   commission seront   toujours  datées  et signées  par tous  les membres  et  vi</w:t>
            </w:r>
            <w:r>
              <w:rPr>
                <w:rFonts w:ascii="Agency FB" w:hAnsi="Agency FB"/>
                <w:b/>
                <w:sz w:val="18"/>
                <w:szCs w:val="18"/>
              </w:rPr>
              <w:t>sé</w:t>
            </w:r>
            <w:r w:rsidRPr="00965172">
              <w:rPr>
                <w:rFonts w:ascii="Agency FB" w:hAnsi="Agency FB"/>
                <w:b/>
                <w:sz w:val="18"/>
                <w:szCs w:val="18"/>
              </w:rPr>
              <w:t xml:space="preserve">es   par  </w:t>
            </w:r>
            <w:r>
              <w:rPr>
                <w:rFonts w:ascii="Agency FB" w:hAnsi="Agency FB"/>
                <w:b/>
                <w:sz w:val="18"/>
                <w:szCs w:val="18"/>
              </w:rPr>
              <w:t>le comptable-matières</w:t>
            </w:r>
          </w:p>
        </w:tc>
      </w:tr>
      <w:tr w:rsidR="00B9094B" w:rsidRPr="00965172" w:rsidTr="00B242A6">
        <w:trPr>
          <w:trHeight w:val="1134"/>
        </w:trPr>
        <w:tc>
          <w:tcPr>
            <w:tcW w:w="606" w:type="dxa"/>
            <w:vMerge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4749" w:type="dxa"/>
            <w:vMerge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492" w:type="dxa"/>
            <w:vMerge/>
            <w:textDirection w:val="btLr"/>
            <w:vAlign w:val="center"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655" w:type="dxa"/>
            <w:vMerge/>
            <w:textDirection w:val="btLr"/>
            <w:vAlign w:val="center"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780FD4">
              <w:rPr>
                <w:rFonts w:ascii="Agency FB" w:hAnsi="Agency FB"/>
                <w:sz w:val="18"/>
                <w:szCs w:val="18"/>
              </w:rPr>
              <w:t xml:space="preserve">Sans </w:t>
            </w:r>
            <w:r>
              <w:rPr>
                <w:rFonts w:ascii="Agency FB" w:hAnsi="Agency FB"/>
                <w:sz w:val="18"/>
                <w:szCs w:val="18"/>
              </w:rPr>
              <w:t>changement</w:t>
            </w:r>
          </w:p>
        </w:tc>
        <w:tc>
          <w:tcPr>
            <w:tcW w:w="1385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Avec   réduction de prix ou changement de classification</w:t>
            </w:r>
          </w:p>
        </w:tc>
        <w:tc>
          <w:tcPr>
            <w:tcW w:w="659" w:type="dxa"/>
            <w:textDirection w:val="btLr"/>
            <w:vAlign w:val="center"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Rebu</w:t>
            </w:r>
            <w:r w:rsidRPr="00965172">
              <w:rPr>
                <w:rFonts w:ascii="Agency FB" w:hAnsi="Agency FB"/>
                <w:b/>
                <w:sz w:val="18"/>
                <w:szCs w:val="18"/>
              </w:rPr>
              <w:t>té</w:t>
            </w:r>
            <w:r>
              <w:rPr>
                <w:rFonts w:ascii="Agency FB" w:hAnsi="Agency FB"/>
                <w:b/>
                <w:sz w:val="18"/>
                <w:szCs w:val="18"/>
              </w:rPr>
              <w:t>es ou en moins</w:t>
            </w:r>
          </w:p>
        </w:tc>
        <w:tc>
          <w:tcPr>
            <w:tcW w:w="513" w:type="dxa"/>
            <w:textDirection w:val="btLr"/>
            <w:vAlign w:val="center"/>
          </w:tcPr>
          <w:p w:rsidR="00B9094B" w:rsidRPr="00965172" w:rsidRDefault="00B9094B" w:rsidP="00B242A6">
            <w:pPr>
              <w:pStyle w:val="Paragraphedeliste"/>
              <w:ind w:left="113" w:right="113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Total</w:t>
            </w:r>
          </w:p>
        </w:tc>
        <w:tc>
          <w:tcPr>
            <w:tcW w:w="3189" w:type="dxa"/>
            <w:vMerge/>
            <w:vAlign w:val="center"/>
          </w:tcPr>
          <w:p w:rsidR="00B9094B" w:rsidRPr="00965172" w:rsidRDefault="00B9094B" w:rsidP="00B242A6">
            <w:pPr>
              <w:pStyle w:val="Paragraphedeliste"/>
              <w:ind w:left="-438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</w:tr>
      <w:tr w:rsidR="00B9094B" w:rsidRPr="00965172" w:rsidTr="00B242A6">
        <w:trPr>
          <w:trHeight w:val="125"/>
        </w:trPr>
        <w:tc>
          <w:tcPr>
            <w:tcW w:w="606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3</w:t>
            </w:r>
          </w:p>
        </w:tc>
        <w:tc>
          <w:tcPr>
            <w:tcW w:w="4749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6</w:t>
            </w:r>
          </w:p>
        </w:tc>
        <w:tc>
          <w:tcPr>
            <w:tcW w:w="908" w:type="dxa"/>
            <w:vAlign w:val="center"/>
          </w:tcPr>
          <w:p w:rsidR="00B9094B" w:rsidRPr="00780FD4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7</w:t>
            </w:r>
          </w:p>
        </w:tc>
        <w:tc>
          <w:tcPr>
            <w:tcW w:w="1385" w:type="dxa"/>
            <w:vAlign w:val="center"/>
          </w:tcPr>
          <w:p w:rsidR="00B9094B" w:rsidRPr="00780FD4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8</w:t>
            </w:r>
          </w:p>
        </w:tc>
        <w:tc>
          <w:tcPr>
            <w:tcW w:w="659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9</w:t>
            </w:r>
          </w:p>
        </w:tc>
        <w:tc>
          <w:tcPr>
            <w:tcW w:w="513" w:type="dxa"/>
            <w:vAlign w:val="center"/>
          </w:tcPr>
          <w:p w:rsidR="00B9094B" w:rsidRPr="00965172" w:rsidRDefault="00B9094B" w:rsidP="00B242A6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10</w:t>
            </w:r>
          </w:p>
        </w:tc>
        <w:tc>
          <w:tcPr>
            <w:tcW w:w="3189" w:type="dxa"/>
            <w:vAlign w:val="center"/>
          </w:tcPr>
          <w:p w:rsidR="00B9094B" w:rsidRPr="00965172" w:rsidRDefault="00B9094B" w:rsidP="00B242A6">
            <w:pPr>
              <w:pStyle w:val="Paragraphedeliste"/>
              <w:ind w:left="-438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11</w:t>
            </w:r>
          </w:p>
        </w:tc>
      </w:tr>
      <w:tr w:rsidR="00B9094B" w:rsidTr="00B242A6">
        <w:trPr>
          <w:trHeight w:val="5132"/>
        </w:trPr>
        <w:tc>
          <w:tcPr>
            <w:tcW w:w="606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9094B" w:rsidRDefault="00B9094B" w:rsidP="00B242A6">
            <w:pPr>
              <w:pStyle w:val="Paragraphedeliste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B9094B" w:rsidRDefault="00B9094B" w:rsidP="00B242A6">
            <w:pPr>
              <w:pStyle w:val="Paragraphedeliste"/>
              <w:ind w:left="-43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9094B" w:rsidRDefault="00B9094B" w:rsidP="00B9094B">
      <w:pPr>
        <w:pStyle w:val="Paragraphedeliste"/>
        <w:spacing w:after="0" w:line="240" w:lineRule="auto"/>
        <w:ind w:left="1065"/>
        <w:rPr>
          <w:rFonts w:ascii="Cambria" w:eastAsia="Calibri" w:hAnsi="Cambria"/>
          <w:sz w:val="18"/>
          <w:szCs w:val="18"/>
          <w:lang w:eastAsia="en-US"/>
        </w:rPr>
      </w:pPr>
    </w:p>
    <w:p w:rsidR="00B9094B" w:rsidRDefault="00B9094B" w:rsidP="00B9094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B9094B" w:rsidRDefault="00B9094B" w:rsidP="00B9094B">
      <w:pPr>
        <w:spacing w:after="0" w:line="240" w:lineRule="auto"/>
        <w:rPr>
          <w:rFonts w:ascii="Cambria" w:hAnsi="Cambria"/>
          <w:sz w:val="18"/>
          <w:szCs w:val="18"/>
        </w:rPr>
        <w:sectPr w:rsidR="00B9094B"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B9094B" w:rsidRPr="00A516E5" w:rsidRDefault="00B9094B" w:rsidP="00B9094B">
      <w:pPr>
        <w:pStyle w:val="Paragraphedeliste"/>
        <w:spacing w:after="0" w:line="240" w:lineRule="auto"/>
        <w:ind w:left="1065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>M ___________________________________________ a été   désigné  à l’effet  de  constater  des  quantités   sous la surveillance de M ___________</w:t>
      </w:r>
      <w:r>
        <w:rPr>
          <w:rFonts w:ascii="Agency FB" w:hAnsi="Agency FB"/>
          <w:sz w:val="28"/>
          <w:szCs w:val="28"/>
        </w:rPr>
        <w:t>______________</w:t>
      </w:r>
      <w:r w:rsidRPr="00A516E5">
        <w:rPr>
          <w:rFonts w:ascii="Agency FB" w:hAnsi="Agency FB"/>
          <w:sz w:val="28"/>
          <w:szCs w:val="28"/>
        </w:rPr>
        <w:t xml:space="preserve">_ délégué   de la commission de  (1) ____________________________________articles  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>Arrêté   le présent  procès-verbal   à (2) ____________________________________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>Admis  en recettes  (3) _____________________________________________________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  <w:proofErr w:type="gramStart"/>
      <w:r w:rsidRPr="00A516E5">
        <w:rPr>
          <w:rFonts w:ascii="Agency FB" w:hAnsi="Agency FB"/>
          <w:sz w:val="28"/>
          <w:szCs w:val="28"/>
        </w:rPr>
        <w:t>a</w:t>
      </w:r>
      <w:proofErr w:type="gramEnd"/>
      <w:r w:rsidRPr="00A516E5">
        <w:rPr>
          <w:rFonts w:ascii="Agency FB" w:hAnsi="Agency FB"/>
          <w:sz w:val="28"/>
          <w:szCs w:val="28"/>
        </w:rPr>
        <w:t xml:space="preserve">  </w:t>
      </w:r>
      <w:r>
        <w:rPr>
          <w:rFonts w:ascii="Agency FB" w:hAnsi="Agency FB"/>
          <w:sz w:val="28"/>
          <w:szCs w:val="28"/>
        </w:rPr>
        <w:t>_______</w:t>
      </w:r>
      <w:r w:rsidRPr="00A516E5">
        <w:rPr>
          <w:rFonts w:ascii="Agency FB" w:hAnsi="Agency FB"/>
          <w:sz w:val="28"/>
          <w:szCs w:val="28"/>
        </w:rPr>
        <w:t>__________le _____________________________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 xml:space="preserve">Les membres  de la commission 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>Le   (4) __________________________________________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r w:rsidRPr="00A516E5">
        <w:rPr>
          <w:rFonts w:ascii="Agency FB" w:hAnsi="Agency FB"/>
          <w:b/>
          <w:sz w:val="28"/>
          <w:szCs w:val="28"/>
        </w:rPr>
        <w:t>PROCES-VERBAL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>Des opérations    relatives    à  la constations  des  quantités</w:t>
      </w:r>
    </w:p>
    <w:p w:rsidR="00B9094B" w:rsidRPr="00A516E5" w:rsidRDefault="00B9094B" w:rsidP="00B9094B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>les  quantités   de matières   et objets  dont  la  commission a prononcé  la réception   suivant   procès-verbal  ci-dessus sont   conformes  aux prescriptions   portées  dans les colonnes  « quantités  reconnues »</w:t>
      </w:r>
    </w:p>
    <w:p w:rsidR="00B9094B" w:rsidRPr="00A516E5" w:rsidRDefault="00B9094B" w:rsidP="00B9094B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B9094B" w:rsidRPr="00A516E5" w:rsidRDefault="00B9094B" w:rsidP="00B9094B">
      <w:pPr>
        <w:spacing w:after="0" w:line="240" w:lineRule="auto"/>
        <w:jc w:val="right"/>
        <w:rPr>
          <w:rFonts w:ascii="Agency FB" w:hAnsi="Agency FB"/>
          <w:sz w:val="28"/>
          <w:szCs w:val="28"/>
        </w:rPr>
      </w:pPr>
      <w:r w:rsidRPr="00A516E5">
        <w:rPr>
          <w:rFonts w:ascii="Agency FB" w:hAnsi="Agency FB"/>
          <w:sz w:val="28"/>
          <w:szCs w:val="28"/>
        </w:rPr>
        <w:t>A __________________________le  _______________________________________</w:t>
      </w:r>
    </w:p>
    <w:p w:rsidR="00B9094B" w:rsidRDefault="00B9094B" w:rsidP="00B9094B"/>
    <w:p w:rsidR="00B9094B" w:rsidRDefault="00B9094B" w:rsidP="00B9094B"/>
    <w:p w:rsidR="00B9094B" w:rsidRDefault="00B9094B" w:rsidP="00B9094B">
      <w:pPr>
        <w:sectPr w:rsidR="00B9094B" w:rsidSect="00DC1052">
          <w:pgSz w:w="11906" w:h="16838"/>
          <w:pgMar w:top="1418" w:right="1418" w:bottom="1418" w:left="1418" w:header="709" w:footer="709" w:gutter="0"/>
          <w:cols w:space="720"/>
        </w:sectPr>
      </w:pPr>
      <w:r>
        <w:t xml:space="preserve">3 </w:t>
      </w:r>
      <w:proofErr w:type="gramStart"/>
      <w:r>
        <w:t>magasin principal ou annexe</w:t>
      </w:r>
      <w:proofErr w:type="gramEnd"/>
    </w:p>
    <w:p w:rsidR="00B9094B" w:rsidRDefault="00B9094B" w:rsidP="00B9094B">
      <w:pPr>
        <w:pStyle w:val="Titre2"/>
      </w:pPr>
      <w:r>
        <w:lastRenderedPageBreak/>
        <w:t>COMMENT TENIR LA 2</w:t>
      </w:r>
      <w:r w:rsidRPr="00CE2910">
        <w:rPr>
          <w:vertAlign w:val="superscript"/>
        </w:rPr>
        <w:t>ème</w:t>
      </w:r>
      <w:r>
        <w:t xml:space="preserve"> DU PROCES-VERBAL DE LA COMMISSION DE RECETTE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B9094B" w:rsidTr="00B242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QUANQ L’UTILISER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QUI DOIT L’UTILISER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DOIVENT LE SIGNER </w:t>
            </w:r>
          </w:p>
        </w:tc>
      </w:tr>
      <w:tr w:rsidR="00B9094B" w:rsidTr="00B242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procès-verbal de la commission de recette est une pièce justificative de second d’ordre qui recense en quantité les biens qui doivent intégrer le patrimoine de la structure.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4B" w:rsidRDefault="00B9094B" w:rsidP="00B2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chaque réception des matières qui doivent intégrer le patrimoine </w:t>
            </w:r>
          </w:p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ad hoc de réception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4B" w:rsidRDefault="00B9094B" w:rsidP="00B2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COMPTABLE-MATIERES</w:t>
            </w:r>
          </w:p>
          <w:p w:rsidR="00B9094B" w:rsidRDefault="00B9094B" w:rsidP="00B2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L’ORDONNATEUR</w:t>
            </w:r>
          </w:p>
          <w:p w:rsidR="00B9094B" w:rsidRDefault="00B9094B" w:rsidP="00B2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FOURNISSEUR</w:t>
            </w:r>
          </w:p>
          <w:p w:rsidR="00B9094B" w:rsidRDefault="00B9094B" w:rsidP="00B2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L’INGENIEUR DU MARCHE</w:t>
            </w:r>
          </w:p>
          <w:p w:rsidR="00B9094B" w:rsidRDefault="00B9094B" w:rsidP="00B242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9094B" w:rsidRDefault="00B9094B" w:rsidP="00B9094B">
      <w:pPr>
        <w:rPr>
          <w:rFonts w:ascii="Calibri" w:eastAsia="Calibri" w:hAnsi="Calibri"/>
          <w:lang w:eastAsia="en-US"/>
        </w:rPr>
      </w:pPr>
      <w:r>
        <w:t>NB : lorsqu’elle est produite, elle doit être établie en cinq exemplaires un pour :</w:t>
      </w:r>
    </w:p>
    <w:p w:rsidR="00B9094B" w:rsidRDefault="00B9094B" w:rsidP="00B9094B">
      <w:pPr>
        <w:pStyle w:val="Paragraphedeliste"/>
        <w:numPr>
          <w:ilvl w:val="0"/>
          <w:numId w:val="1"/>
        </w:numPr>
      </w:pPr>
      <w:r>
        <w:t>Le Comptable-matières ;</w:t>
      </w:r>
    </w:p>
    <w:p w:rsidR="00B9094B" w:rsidRDefault="00B9094B" w:rsidP="00B9094B">
      <w:pPr>
        <w:pStyle w:val="Paragraphedeliste"/>
        <w:numPr>
          <w:ilvl w:val="0"/>
          <w:numId w:val="1"/>
        </w:numPr>
      </w:pPr>
      <w:r>
        <w:t>L’Ordonnateur ;</w:t>
      </w:r>
    </w:p>
    <w:p w:rsidR="00B9094B" w:rsidRDefault="00B9094B" w:rsidP="00B9094B">
      <w:pPr>
        <w:pStyle w:val="Paragraphedeliste"/>
        <w:numPr>
          <w:ilvl w:val="0"/>
          <w:numId w:val="1"/>
        </w:numPr>
      </w:pPr>
      <w:r>
        <w:t>L’ingénieur de marché compétent (s) ;</w:t>
      </w:r>
    </w:p>
    <w:p w:rsidR="00B9094B" w:rsidRDefault="00B9094B" w:rsidP="00B9094B">
      <w:pPr>
        <w:pStyle w:val="Paragraphedeliste"/>
        <w:numPr>
          <w:ilvl w:val="0"/>
          <w:numId w:val="1"/>
        </w:numPr>
      </w:pPr>
      <w:r>
        <w:t>L’archivage des fichiers Comptables-matières ;</w:t>
      </w:r>
    </w:p>
    <w:p w:rsidR="00B9094B" w:rsidRDefault="00B9094B" w:rsidP="00B9094B">
      <w:pPr>
        <w:pStyle w:val="Paragraphedeliste"/>
        <w:numPr>
          <w:ilvl w:val="0"/>
          <w:numId w:val="1"/>
        </w:numPr>
      </w:pPr>
      <w:r>
        <w:t xml:space="preserve">La Direction de la Normalisation et de la Comptabilité-Matières (DNCM). </w:t>
      </w:r>
    </w:p>
    <w:p w:rsidR="00B9094B" w:rsidRDefault="00B9094B" w:rsidP="00B9094B">
      <w:r>
        <w:t>COMMENT LE TENIR</w:t>
      </w:r>
    </w:p>
    <w:p w:rsidR="00B9094B" w:rsidRDefault="00B9094B" w:rsidP="00B9094B">
      <w:r>
        <w:t>INTRANTS UTILISES</w:t>
      </w:r>
    </w:p>
    <w:p w:rsidR="00B9094B" w:rsidRDefault="00B9094B" w:rsidP="00B9094B">
      <w:pPr>
        <w:pStyle w:val="Paragraphedeliste"/>
        <w:numPr>
          <w:ilvl w:val="0"/>
          <w:numId w:val="2"/>
        </w:numPr>
      </w:pPr>
      <w:r>
        <w:t>Bon de commande administratif, lettre commande ou convention ;</w:t>
      </w:r>
    </w:p>
    <w:p w:rsidR="00B9094B" w:rsidRDefault="00B9094B" w:rsidP="00B9094B">
      <w:pPr>
        <w:pStyle w:val="Paragraphedeliste"/>
        <w:numPr>
          <w:ilvl w:val="0"/>
          <w:numId w:val="2"/>
        </w:numPr>
      </w:pPr>
      <w:r>
        <w:t>Facture définitive ;</w:t>
      </w:r>
    </w:p>
    <w:p w:rsidR="00B9094B" w:rsidRDefault="00B9094B" w:rsidP="00B9094B">
      <w:r>
        <w:t>PORTER :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N° de prise en charge au livre-journal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Désignation de la nature de livraison, date et numéro de l’acte d’engagement de la dépense 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Numéro de la Nomenclature Sommaire (N°NS) 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 xml:space="preserve">Désignation des matières réceptionnées ; 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Espèces des unités 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Quantités des matières facturées figurant sur l’acte d’engagement de la dépense 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Quantités des matières ne présentant aucun problème de conformité 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Quantités des matières présentant des problèmes de conformité et ayant subi la décote ou remplacé 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Quantités des matières ayant été rejetées ou en moins 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>Quantités du matériel remis au Comptable-matières ;</w:t>
      </w:r>
    </w:p>
    <w:p w:rsidR="00B9094B" w:rsidRDefault="00B9094B" w:rsidP="00B9094B">
      <w:pPr>
        <w:pStyle w:val="Paragraphedeliste"/>
        <w:numPr>
          <w:ilvl w:val="0"/>
          <w:numId w:val="3"/>
        </w:numPr>
      </w:pPr>
      <w:r>
        <w:t xml:space="preserve">La teneur de la décision de la commission ; </w:t>
      </w:r>
    </w:p>
    <w:p w:rsidR="00B9094B" w:rsidRDefault="00B9094B" w:rsidP="00B9094B"/>
    <w:p w:rsidR="000A520C" w:rsidRDefault="000A520C"/>
    <w:sectPr w:rsidR="000A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299"/>
    <w:multiLevelType w:val="hybridMultilevel"/>
    <w:tmpl w:val="794E3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A0002"/>
    <w:multiLevelType w:val="hybridMultilevel"/>
    <w:tmpl w:val="E0EC6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0935"/>
    <w:multiLevelType w:val="hybridMultilevel"/>
    <w:tmpl w:val="B34E5DF0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>
      <w:start w:val="1"/>
      <w:numFmt w:val="lowerLetter"/>
      <w:lvlText w:val="%2."/>
      <w:lvlJc w:val="left"/>
      <w:pPr>
        <w:ind w:left="1470" w:hanging="360"/>
      </w:pPr>
    </w:lvl>
    <w:lvl w:ilvl="2" w:tplc="040C001B">
      <w:start w:val="1"/>
      <w:numFmt w:val="lowerRoman"/>
      <w:lvlText w:val="%3."/>
      <w:lvlJc w:val="right"/>
      <w:pPr>
        <w:ind w:left="2190" w:hanging="180"/>
      </w:pPr>
    </w:lvl>
    <w:lvl w:ilvl="3" w:tplc="040C000F">
      <w:start w:val="1"/>
      <w:numFmt w:val="decimal"/>
      <w:lvlText w:val="%4."/>
      <w:lvlJc w:val="left"/>
      <w:pPr>
        <w:ind w:left="2910" w:hanging="360"/>
      </w:pPr>
    </w:lvl>
    <w:lvl w:ilvl="4" w:tplc="040C0019">
      <w:start w:val="1"/>
      <w:numFmt w:val="lowerLetter"/>
      <w:lvlText w:val="%5."/>
      <w:lvlJc w:val="left"/>
      <w:pPr>
        <w:ind w:left="3630" w:hanging="360"/>
      </w:pPr>
    </w:lvl>
    <w:lvl w:ilvl="5" w:tplc="040C001B">
      <w:start w:val="1"/>
      <w:numFmt w:val="lowerRoman"/>
      <w:lvlText w:val="%6."/>
      <w:lvlJc w:val="right"/>
      <w:pPr>
        <w:ind w:left="4350" w:hanging="180"/>
      </w:pPr>
    </w:lvl>
    <w:lvl w:ilvl="6" w:tplc="040C000F">
      <w:start w:val="1"/>
      <w:numFmt w:val="decimal"/>
      <w:lvlText w:val="%7."/>
      <w:lvlJc w:val="left"/>
      <w:pPr>
        <w:ind w:left="5070" w:hanging="360"/>
      </w:pPr>
    </w:lvl>
    <w:lvl w:ilvl="7" w:tplc="040C0019">
      <w:start w:val="1"/>
      <w:numFmt w:val="lowerLetter"/>
      <w:lvlText w:val="%8."/>
      <w:lvlJc w:val="left"/>
      <w:pPr>
        <w:ind w:left="5790" w:hanging="360"/>
      </w:pPr>
    </w:lvl>
    <w:lvl w:ilvl="8" w:tplc="040C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B"/>
    <w:rsid w:val="000A520C"/>
    <w:rsid w:val="00B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B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0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0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909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B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0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0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909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welba</dc:creator>
  <cp:lastModifiedBy>welba</cp:lastModifiedBy>
  <cp:revision>1</cp:revision>
  <dcterms:created xsi:type="dcterms:W3CDTF">2017-09-03T03:44:00Z</dcterms:created>
  <dcterms:modified xsi:type="dcterms:W3CDTF">2017-09-03T03:45:00Z</dcterms:modified>
</cp:coreProperties>
</file>